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E556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Управління освіти Коломийської міської ради</w:t>
      </w:r>
    </w:p>
    <w:p w14:paraId="4438EB2E">
      <w:pPr>
        <w:spacing w:before="280"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ОБҐРУНТУВАННЯ</w:t>
      </w:r>
    </w:p>
    <w:p w14:paraId="784119F5">
      <w:pPr>
        <w:spacing w:after="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eastAsia="ru-RU"/>
        </w:rPr>
        <w:t>технічних та якісних характеристик закупівлі та розміру бюджетного призначення, очікуваної вартості предмета закупівлі</w:t>
      </w:r>
    </w:p>
    <w:p w14:paraId="69A80F59">
      <w:pPr>
        <w:spacing w:after="0" w:line="240" w:lineRule="auto"/>
        <w:jc w:val="center"/>
        <w:rPr>
          <w:rFonts w:ascii="Times New Roman" w:hAnsi="Times New Roman" w:eastAsia="Times New Roman" w:cs="Times New Roman"/>
          <w:sz w:val="24"/>
          <w:szCs w:val="24"/>
          <w:lang w:val="uk-UA" w:eastAsia="ru-RU"/>
        </w:rPr>
      </w:pPr>
    </w:p>
    <w:p w14:paraId="3C3C383B">
      <w:pPr>
        <w:spacing w:before="280" w:after="280" w:line="240" w:lineRule="auto"/>
        <w:jc w:val="center"/>
        <w:rPr>
          <w:rFonts w:ascii="Times New Roman" w:hAnsi="Times New Roman" w:eastAsia="Times New Roman" w:cs="Times New Roman"/>
          <w:b/>
          <w:i/>
          <w:iCs/>
          <w:sz w:val="24"/>
          <w:szCs w:val="24"/>
          <w:lang w:val="uk-UA" w:eastAsia="ru-RU"/>
        </w:rPr>
      </w:pPr>
      <w:r>
        <w:fldChar w:fldCharType="begin"/>
      </w:r>
      <w:r>
        <w:instrText xml:space="preserve"> HYPERLINK "https://my.zakupivli.pro/cabinet/purchases/state_purchase/view/43240333" </w:instrText>
      </w:r>
      <w:r>
        <w:fldChar w:fldCharType="separate"/>
      </w:r>
      <w:r>
        <w:rPr>
          <w:rStyle w:val="5"/>
          <w:rFonts w:ascii="Times New Roman" w:hAnsi="Times New Roman" w:cs="Times New Roman"/>
          <w:b/>
          <w:color w:val="000000" w:themeColor="text1"/>
          <w:sz w:val="24"/>
          <w:szCs w:val="24"/>
          <w:u w:val="none"/>
          <w:shd w:val="clear" w:color="auto" w:fill="FFFFFF"/>
          <w:lang w:val="uk-UA"/>
          <w14:textFill>
            <w14:solidFill>
              <w14:schemeClr w14:val="tx1"/>
            </w14:solidFill>
          </w14:textFill>
        </w:rPr>
        <w:t>Щорічний періодичний медичний огляд працівників (Щорічний періодичний медичний огляд працівників, Послуги з проведення бактеріологічних досліджень для проведення щорічного періодичного медичного огляду працівників) ; код 85110000-3 Послуги лікувальних закладів та супутні послуги за ДК 021:2015 «Єдиний закупівельний словник»</w:t>
      </w:r>
      <w:r>
        <w:rPr>
          <w:rStyle w:val="5"/>
          <w:rFonts w:ascii="Times New Roman" w:hAnsi="Times New Roman" w:cs="Times New Roman"/>
          <w:b/>
          <w:color w:val="000000" w:themeColor="text1"/>
          <w:sz w:val="24"/>
          <w:szCs w:val="24"/>
          <w:u w:val="none"/>
          <w:shd w:val="clear" w:color="auto" w:fill="FFFFFF"/>
          <w:lang w:val="uk-UA"/>
          <w14:textFill>
            <w14:solidFill>
              <w14:schemeClr w14:val="tx1"/>
            </w14:solidFill>
          </w14:textFill>
        </w:rPr>
        <w:fldChar w:fldCharType="end"/>
      </w:r>
      <w:r>
        <w:rPr>
          <w:rFonts w:ascii="Times New Roman" w:hAnsi="Times New Roman" w:eastAsia="Times New Roman" w:cs="Times New Roman"/>
          <w:b/>
          <w:i/>
          <w:iCs/>
          <w:sz w:val="24"/>
          <w:szCs w:val="24"/>
          <w:lang w:val="uk-UA" w:eastAsia="ru-RU"/>
        </w:rPr>
        <w:t xml:space="preserve"> </w:t>
      </w:r>
    </w:p>
    <w:p w14:paraId="709B6500">
      <w:pPr>
        <w:spacing w:before="280" w:after="280" w:line="240" w:lineRule="auto"/>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i/>
          <w:iCs/>
          <w:sz w:val="24"/>
          <w:szCs w:val="24"/>
          <w:lang w:val="uk-UA" w:eastAsia="ru-RU"/>
        </w:rPr>
        <w:t>(оприлюднюється на виконання постанови КМУ № 710 від 11.10.2016 «Про ефективне використання державних коштів» (зі змінами))</w:t>
      </w:r>
    </w:p>
    <w:p w14:paraId="100CEC9B">
      <w:pPr>
        <w:spacing w:before="280" w:after="28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val="uk-UA"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Fonts w:ascii="Times New Roman" w:hAnsi="Times New Roman" w:eastAsia="Times New Roman" w:cs="Times New Roman"/>
          <w:sz w:val="24"/>
          <w:szCs w:val="24"/>
          <w:u w:val="single"/>
          <w:lang w:val="uk-UA" w:eastAsia="ru-RU"/>
        </w:rPr>
        <w:t xml:space="preserve">Управління освіти Коломийської міської ради Івано-Франківської області, вул. </w:t>
      </w:r>
      <w:r>
        <w:rPr>
          <w:rFonts w:ascii="Times New Roman" w:hAnsi="Times New Roman" w:eastAsia="Times New Roman" w:cs="Times New Roman"/>
          <w:sz w:val="24"/>
          <w:szCs w:val="24"/>
          <w:u w:val="single"/>
          <w:lang w:eastAsia="ru-RU"/>
        </w:rPr>
        <w:t>Кобринського,10 м. Коломия, Івано-Франківська область,78203, код 02143442, юридичні особи, які забезпечують потреби держави або територіальної громади.</w:t>
      </w:r>
    </w:p>
    <w:p w14:paraId="5A2D9FF2">
      <w:pPr>
        <w:spacing w:before="280" w:after="280" w:line="240" w:lineRule="auto"/>
        <w:jc w:val="both"/>
        <w:rPr>
          <w:rStyle w:val="5"/>
          <w:rFonts w:ascii="Times New Roman" w:hAnsi="Times New Roman" w:cs="Times New Roman"/>
          <w:color w:val="000000" w:themeColor="text1"/>
          <w:sz w:val="24"/>
          <w:szCs w:val="24"/>
          <w:u w:val="none"/>
          <w:shd w:val="clear" w:color="auto" w:fill="FFFFFF"/>
          <w14:textFill>
            <w14:solidFill>
              <w14:schemeClr w14:val="tx1"/>
            </w14:solidFill>
          </w14:textFill>
        </w:rPr>
      </w:pPr>
      <w:r>
        <w:rPr>
          <w:rFonts w:ascii="Times New Roman" w:hAnsi="Times New Roman" w:eastAsia="Times New Roman" w:cs="Times New Roman"/>
          <w:b/>
          <w:bCs/>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hAnsi="Times New Roman" w:eastAsia="Times New Roman" w:cs="Times New Roman"/>
          <w:sz w:val="24"/>
          <w:szCs w:val="24"/>
          <w:lang w:eastAsia="ru-RU"/>
        </w:rPr>
        <w:t xml:space="preserve"> </w:t>
      </w:r>
      <w:r>
        <w:fldChar w:fldCharType="begin"/>
      </w:r>
      <w:r>
        <w:instrText xml:space="preserve"> HYPERLINK "https://my.zakupivli.pro/cabinet/purchases/state_purchase/view/43240333" </w:instrText>
      </w:r>
      <w:r>
        <w:fldChar w:fldCharType="separate"/>
      </w:r>
      <w:r>
        <w:rPr>
          <w:rStyle w:val="5"/>
          <w:rFonts w:ascii="Times New Roman" w:hAnsi="Times New Roman" w:cs="Times New Roman"/>
          <w:color w:val="000000" w:themeColor="text1"/>
          <w:sz w:val="24"/>
          <w:szCs w:val="24"/>
          <w:u w:val="none"/>
          <w:shd w:val="clear" w:color="auto" w:fill="FFFFFF"/>
          <w14:textFill>
            <w14:solidFill>
              <w14:schemeClr w14:val="tx1"/>
            </w14:solidFill>
          </w14:textFill>
        </w:rPr>
        <w:t>Щорічний періодичний медичний огляд працівників (Щорічний періодичний медичний огляд працівників, Послуги з проведення бактеріологічних досліджень для проведення щорічного періодичного медичного огляду працівників) ; код 85110000-3 Послуги лікувальних закладів та супутні послуги за ДК 021:2015 «Єдиний закупівельний словник»</w:t>
      </w:r>
      <w:r>
        <w:rPr>
          <w:rStyle w:val="5"/>
          <w:rFonts w:ascii="Times New Roman" w:hAnsi="Times New Roman" w:cs="Times New Roman"/>
          <w:color w:val="000000" w:themeColor="text1"/>
          <w:sz w:val="24"/>
          <w:szCs w:val="24"/>
          <w:u w:val="none"/>
          <w:shd w:val="clear" w:color="auto" w:fill="FFFFFF"/>
          <w14:textFill>
            <w14:solidFill>
              <w14:schemeClr w14:val="tx1"/>
            </w14:solidFill>
          </w14:textFill>
        </w:rPr>
        <w:fldChar w:fldCharType="end"/>
      </w:r>
    </w:p>
    <w:p w14:paraId="4E1AD852">
      <w:pPr>
        <w:shd w:val="clear" w:color="auto" w:fill="FFFFFF"/>
        <w:spacing w:after="0" w:line="240" w:lineRule="auto"/>
        <w:textAlignment w:val="baseline"/>
        <w:outlineLvl w:val="0"/>
        <w:rPr>
          <w:rFonts w:ascii="Times New Roman" w:hAnsi="Times New Roman" w:eastAsia="Times New Roman" w:cs="Times New Roman"/>
          <w:b/>
          <w:bCs/>
          <w:color w:val="000000" w:themeColor="text1"/>
          <w:kern w:val="36"/>
          <w:sz w:val="24"/>
          <w:szCs w:val="24"/>
          <w:lang w:val="uk-UA" w:eastAsia="uk-UA"/>
          <w14:textFill>
            <w14:solidFill>
              <w14:schemeClr w14:val="tx1"/>
            </w14:solidFill>
          </w14:textFill>
        </w:rPr>
      </w:pPr>
      <w:r>
        <w:rPr>
          <w:rFonts w:ascii="Times New Roman" w:hAnsi="Times New Roman" w:eastAsia="Times New Roman" w:cs="Times New Roman"/>
          <w:b/>
          <w:bCs/>
          <w:color w:val="000000" w:themeColor="text1"/>
          <w:kern w:val="36"/>
          <w:sz w:val="24"/>
          <w:szCs w:val="24"/>
          <w:lang w:val="uk-UA" w:eastAsia="uk-UA"/>
          <w14:textFill>
            <w14:solidFill>
              <w14:schemeClr w14:val="tx1"/>
            </w14:solidFill>
          </w14:textFill>
        </w:rPr>
        <w:t>Лот </w:t>
      </w:r>
      <w:r>
        <w:rPr>
          <w:rFonts w:ascii="Times New Roman" w:hAnsi="Times New Roman" w:eastAsia="Times New Roman" w:cs="Times New Roman"/>
          <w:b/>
          <w:bCs/>
          <w:color w:val="000000" w:themeColor="text1"/>
          <w:kern w:val="36"/>
          <w:sz w:val="24"/>
          <w:szCs w:val="24"/>
          <w:lang w:val="uk-UA" w:eastAsia="uk-UA"/>
          <w14:textFill>
            <w14:solidFill>
              <w14:schemeClr w14:val="tx1"/>
            </w14:solidFill>
          </w14:textFill>
        </w:rPr>
        <w:t>#1: Щорічний періодичний медичний огляд працівників ; код 85110000-3 Послуги лікувальних закладів та супутні послуги за ДК 021:2015 «Єдиний закупівельний словник»</w:t>
      </w:r>
    </w:p>
    <w:p w14:paraId="3DCB950D">
      <w:pPr>
        <w:spacing w:before="280" w:after="280" w:line="240" w:lineRule="auto"/>
        <w:jc w:val="both"/>
        <w:rPr>
          <w:rFonts w:ascii="Times New Roman" w:hAnsi="Times New Roman" w:cs="Times New Roman"/>
          <w:color w:val="333333"/>
          <w:sz w:val="24"/>
          <w:szCs w:val="24"/>
          <w:shd w:val="clear" w:color="auto" w:fill="FFFFFF"/>
        </w:rPr>
      </w:pPr>
      <w:r>
        <w:rPr>
          <w:rFonts w:ascii="Times New Roman" w:hAnsi="Times New Roman" w:eastAsia="Times New Roman" w:cs="Times New Roman"/>
          <w:b/>
          <w:bCs/>
          <w:sz w:val="24"/>
          <w:szCs w:val="24"/>
          <w:lang w:val="uk-UA" w:eastAsia="ru-RU"/>
        </w:rPr>
        <w:t>Вид та ідентифікатор процедури закупівлі</w:t>
      </w:r>
      <w:r>
        <w:rPr>
          <w:rFonts w:ascii="Times New Roman" w:hAnsi="Times New Roman" w:eastAsia="Times New Roman" w:cs="Times New Roman"/>
          <w:bCs/>
          <w:sz w:val="24"/>
          <w:szCs w:val="24"/>
          <w:lang w:val="uk-UA" w:eastAsia="ru-RU"/>
        </w:rPr>
        <w:t>:</w:t>
      </w:r>
      <w:r>
        <w:rPr>
          <w:rFonts w:ascii="Times New Roman" w:hAnsi="Times New Roman" w:eastAsia="Times New Roman" w:cs="Times New Roman"/>
          <w:sz w:val="24"/>
          <w:szCs w:val="24"/>
          <w:lang w:val="uk-UA" w:eastAsia="ru-RU"/>
        </w:rPr>
        <w:t xml:space="preserve"> </w:t>
      </w:r>
      <w:r>
        <w:rPr>
          <w:rFonts w:ascii="Times New Roman" w:hAnsi="Times New Roman" w:cs="Times New Roman"/>
          <w:sz w:val="24"/>
          <w:szCs w:val="24"/>
          <w:lang w:val="uk-UA"/>
        </w:rPr>
        <w:t xml:space="preserve">Відкриті торги з особливостями </w:t>
      </w:r>
      <w:r>
        <w:rPr>
          <w:rFonts w:ascii="Times New Roman" w:hAnsi="Times New Roman" w:cs="Times New Roman"/>
          <w:color w:val="333333"/>
          <w:sz w:val="24"/>
          <w:szCs w:val="24"/>
          <w:shd w:val="clear" w:color="auto" w:fill="FFFFFF"/>
        </w:rPr>
        <w:t>UA-2024-08-23-010211-a</w:t>
      </w:r>
      <w:r>
        <w:rPr>
          <w:rFonts w:ascii="Times New Roman" w:hAnsi="Times New Roman" w:cs="Times New Roman"/>
          <w:b/>
          <w:bCs/>
          <w:color w:val="333333"/>
          <w:sz w:val="24"/>
          <w:szCs w:val="24"/>
          <w:shd w:val="clear" w:color="auto" w:fill="FFFFFF"/>
        </w:rPr>
        <w:t xml:space="preserve"> </w:t>
      </w:r>
    </w:p>
    <w:p w14:paraId="186664BC">
      <w:pPr>
        <w:spacing w:before="280" w:after="28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b/>
          <w:bCs/>
          <w:sz w:val="24"/>
          <w:szCs w:val="24"/>
          <w:lang w:val="uk-UA" w:eastAsia="ru-RU"/>
        </w:rPr>
        <w:t>Очікувана вартість та обґрунтування очікуваної вартості предмета закупівлі:</w:t>
      </w:r>
      <w:r>
        <w:rPr>
          <w:rFonts w:ascii="Times New Roman" w:hAnsi="Times New Roman" w:eastAsia="Times New Roman" w:cs="Times New Roman"/>
          <w:b/>
          <w:bCs/>
          <w:sz w:val="24"/>
          <w:szCs w:val="24"/>
          <w:lang w:eastAsia="ru-RU"/>
        </w:rPr>
        <w:t>   </w:t>
      </w:r>
    </w:p>
    <w:p w14:paraId="1CB66234">
      <w:pPr>
        <w:spacing w:before="280" w:after="280" w:line="240" w:lineRule="auto"/>
        <w:jc w:val="both"/>
        <w:rPr>
          <w:rFonts w:ascii="Times New Roman" w:hAnsi="Times New Roman" w:eastAsia="Times New Roman" w:cs="Times New Roman"/>
          <w:sz w:val="24"/>
          <w:szCs w:val="24"/>
          <w:lang w:val="uk-UA" w:eastAsia="ru-RU"/>
        </w:rPr>
      </w:pPr>
      <w:r>
        <w:rPr>
          <w:rFonts w:ascii="Times New Roman" w:hAnsi="Times New Roman" w:cs="Times New Roman"/>
          <w:color w:val="333333"/>
          <w:sz w:val="24"/>
          <w:szCs w:val="24"/>
          <w:shd w:val="clear" w:color="auto" w:fill="FFFFFF"/>
        </w:rPr>
        <w:t>661 281 </w:t>
      </w:r>
      <w:r>
        <w:rPr>
          <w:rFonts w:ascii="Times New Roman" w:hAnsi="Times New Roman" w:cs="Times New Roman"/>
          <w:color w:val="333333"/>
          <w:sz w:val="24"/>
          <w:szCs w:val="24"/>
          <w:shd w:val="clear" w:color="auto" w:fill="FFFFFF"/>
          <w:lang w:val="uk-UA"/>
        </w:rPr>
        <w:t xml:space="preserve"> </w:t>
      </w:r>
      <w:r>
        <w:rPr>
          <w:rFonts w:ascii="Times New Roman" w:hAnsi="Times New Roman" w:eastAsia="Times New Roman" w:cs="Times New Roman"/>
          <w:sz w:val="24"/>
          <w:szCs w:val="24"/>
          <w:lang w:val="uk-UA" w:eastAsia="ru-RU"/>
        </w:rPr>
        <w:t>грн. Визначення очікуваної вартості предмета закупівлі Замовником здійснено розрахунок очікуваної вартості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1F601F8A">
      <w:pPr>
        <w:spacing w:before="280" w:after="28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При цьому розрахунок очікуваної вартості проводився згідно аналізу комерційних пропозицій постачальників та </w:t>
      </w:r>
      <w:r>
        <w:rPr>
          <w:rStyle w:val="8"/>
          <w:rFonts w:ascii="Times New Roman" w:hAnsi="Times New Roman" w:cs="Times New Roman"/>
          <w:bCs/>
          <w:color w:val="000000"/>
          <w:sz w:val="24"/>
          <w:szCs w:val="24"/>
          <w:shd w:val="clear" w:color="auto" w:fill="FFFFFF"/>
          <w:lang w:val="uk-UA"/>
        </w:rPr>
        <w:t>рішення виконавчого комітету від 18.04.2023р. №96 «Про затвердження</w:t>
      </w:r>
      <w:r>
        <w:rPr>
          <w:rStyle w:val="9"/>
          <w:rFonts w:ascii="Times New Roman" w:hAnsi="Times New Roman" w:cs="Times New Roman"/>
          <w:color w:val="000000"/>
          <w:sz w:val="24"/>
          <w:szCs w:val="24"/>
          <w:shd w:val="clear" w:color="auto" w:fill="FFFFFF"/>
        </w:rPr>
        <w:t> </w:t>
      </w:r>
      <w:r>
        <w:rPr>
          <w:rStyle w:val="8"/>
          <w:rFonts w:ascii="Times New Roman" w:hAnsi="Times New Roman" w:cs="Times New Roman"/>
          <w:bCs/>
          <w:color w:val="000000"/>
          <w:sz w:val="24"/>
          <w:szCs w:val="24"/>
          <w:shd w:val="clear" w:color="auto" w:fill="FFFFFF"/>
          <w:lang w:val="uk-UA"/>
        </w:rPr>
        <w:t>переліку і тарифів на платні послуги в комунальних некомерційних підприємствах охорони здоров’я Коломийської міської ради»</w:t>
      </w:r>
      <w:r>
        <w:rPr>
          <w:rFonts w:ascii="Times New Roman" w:hAnsi="Times New Roman" w:cs="Times New Roman"/>
          <w:sz w:val="24"/>
          <w:szCs w:val="24"/>
          <w:lang w:val="uk-UA"/>
        </w:rPr>
        <w:t xml:space="preserve"> </w:t>
      </w:r>
      <w:r>
        <w:rPr>
          <w:rFonts w:ascii="Times New Roman" w:hAnsi="Times New Roman" w:eastAsia="Times New Roman" w:cs="Times New Roman"/>
          <w:sz w:val="24"/>
          <w:szCs w:val="24"/>
          <w:lang w:val="uk-UA" w:eastAsia="ru-RU"/>
        </w:rPr>
        <w:t>станом на дату формування очікуваної вартості предмета закупівлі.</w:t>
      </w:r>
      <w:r>
        <w:rPr>
          <w:rFonts w:ascii="Times New Roman" w:hAnsi="Times New Roman" w:eastAsia="Times New Roman" w:cs="Times New Roman"/>
          <w:sz w:val="24"/>
          <w:szCs w:val="24"/>
          <w:lang w:eastAsia="ru-RU"/>
        </w:rPr>
        <w:t> </w:t>
      </w:r>
    </w:p>
    <w:p w14:paraId="047140D9">
      <w:pPr>
        <w:spacing w:after="150" w:line="240" w:lineRule="auto"/>
        <w:jc w:val="both"/>
        <w:rPr>
          <w:rFonts w:hint="default" w:ascii="Times New Roman" w:hAnsi="Times New Roman" w:cs="Times New Roman"/>
          <w:sz w:val="24"/>
          <w:szCs w:val="24"/>
          <w:lang w:val="uk-UA"/>
        </w:rPr>
      </w:pPr>
      <w:bookmarkStart w:id="0" w:name="_GoBack"/>
      <w:r>
        <w:rPr>
          <w:rFonts w:hint="default" w:ascii="Times New Roman" w:hAnsi="Times New Roman" w:eastAsia="Times New Roman" w:cs="Times New Roman"/>
          <w:b/>
          <w:bCs/>
          <w:sz w:val="24"/>
          <w:szCs w:val="24"/>
          <w:lang w:val="uk-UA" w:eastAsia="ru-RU"/>
        </w:rPr>
        <w:t>Розмір бюджетного призначення:</w:t>
      </w:r>
      <w:r>
        <w:rPr>
          <w:rFonts w:hint="default" w:ascii="Times New Roman" w:hAnsi="Times New Roman" w:cs="Times New Roman"/>
          <w:b/>
          <w:sz w:val="24"/>
          <w:szCs w:val="24"/>
          <w:lang w:val="uk-UA"/>
        </w:rPr>
        <w:t xml:space="preserve"> </w:t>
      </w:r>
      <w:r>
        <w:rPr>
          <w:rFonts w:hint="default" w:ascii="Times New Roman" w:hAnsi="Times New Roman" w:cs="Times New Roman"/>
          <w:sz w:val="24"/>
          <w:szCs w:val="24"/>
          <w:lang w:val="uk-UA"/>
        </w:rPr>
        <w:t xml:space="preserve">КЕКВ </w:t>
      </w:r>
      <w:r>
        <w:rPr>
          <w:rFonts w:hint="default" w:ascii="Times New Roman" w:hAnsi="Times New Roman" w:cs="Times New Roman"/>
          <w:color w:val="333333"/>
          <w:sz w:val="24"/>
          <w:szCs w:val="24"/>
          <w:shd w:val="clear" w:color="auto" w:fill="FFFFFF"/>
        </w:rPr>
        <w:t>Код 2200 „Використання товарів і послуг”</w:t>
      </w:r>
      <w:r>
        <w:rPr>
          <w:rFonts w:hint="default" w:ascii="Times New Roman" w:hAnsi="Times New Roman" w:cs="Times New Roman"/>
          <w:sz w:val="24"/>
          <w:szCs w:val="24"/>
          <w:lang w:val="uk-UA"/>
        </w:rPr>
        <w:t xml:space="preserve"> бюджетних програм:</w:t>
      </w:r>
    </w:p>
    <w:p w14:paraId="72F41AE9">
      <w:pPr>
        <w:pStyle w:val="10"/>
        <w:numPr>
          <w:ilvl w:val="0"/>
          <w:numId w:val="1"/>
        </w:numPr>
        <w:spacing w:after="0" w:line="240" w:lineRule="auto"/>
        <w:jc w:val="both"/>
        <w:rPr>
          <w:rFonts w:hint="default" w:ascii="Times New Roman" w:hAnsi="Times New Roman" w:eastAsia="Times New Roman" w:cs="Times New Roman"/>
          <w:color w:val="000000"/>
          <w:sz w:val="24"/>
          <w:szCs w:val="24"/>
          <w:lang w:val="uk-UA" w:eastAsia="uk-UA"/>
        </w:rPr>
      </w:pPr>
      <w:r>
        <w:rPr>
          <w:rFonts w:hint="default" w:ascii="Times New Roman" w:hAnsi="Times New Roman" w:eastAsia="Times New Roman" w:cs="Times New Roman"/>
          <w:sz w:val="24"/>
          <w:szCs w:val="24"/>
          <w:lang w:val="uk-UA" w:eastAsia="ru-RU"/>
        </w:rPr>
        <w:t xml:space="preserve">«Надання дошкільної освіти» </w:t>
      </w:r>
      <w:r>
        <w:rPr>
          <w:rFonts w:hint="default" w:ascii="Times New Roman" w:hAnsi="Times New Roman" w:cs="Times New Roman"/>
          <w:sz w:val="24"/>
          <w:szCs w:val="24"/>
          <w:lang w:val="uk-UA"/>
        </w:rPr>
        <w:t xml:space="preserve">за КПКВК 0611010 КФКВК 0910 –  1 546 567,86 </w:t>
      </w:r>
      <w:r>
        <w:rPr>
          <w:rFonts w:hint="default" w:ascii="Times New Roman" w:hAnsi="Times New Roman" w:eastAsia="Times New Roman" w:cs="Times New Roman"/>
          <w:color w:val="000000"/>
          <w:sz w:val="24"/>
          <w:szCs w:val="24"/>
          <w:lang w:val="uk-UA" w:eastAsia="uk-UA"/>
        </w:rPr>
        <w:t>грн.</w:t>
      </w:r>
    </w:p>
    <w:p w14:paraId="73B4C705">
      <w:pPr>
        <w:pStyle w:val="10"/>
        <w:numPr>
          <w:ilvl w:val="0"/>
          <w:numId w:val="1"/>
        </w:numPr>
        <w:spacing w:after="150" w:line="240" w:lineRule="auto"/>
        <w:jc w:val="both"/>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sz w:val="24"/>
          <w:szCs w:val="24"/>
          <w:lang w:val="uk-UA" w:eastAsia="ru-RU"/>
        </w:rPr>
        <w:t xml:space="preserve">«Надання позашкільної освіти закладами позашкільної освіти, заходи із позашкільної роботи з дітьми» </w:t>
      </w:r>
      <w:r>
        <w:rPr>
          <w:rFonts w:hint="default" w:ascii="Times New Roman" w:hAnsi="Times New Roman" w:cs="Times New Roman"/>
          <w:sz w:val="24"/>
          <w:szCs w:val="24"/>
          <w:lang w:val="uk-UA"/>
        </w:rPr>
        <w:t>за КПКВК 0611070 КФКВК 0960 –50 915,32грн,</w:t>
      </w:r>
      <w:r>
        <w:rPr>
          <w:rFonts w:hint="default" w:ascii="Times New Roman" w:hAnsi="Times New Roman" w:eastAsia="Times New Roman" w:cs="Times New Roman"/>
          <w:color w:val="000000" w:themeColor="text1"/>
          <w:sz w:val="24"/>
          <w:szCs w:val="24"/>
          <w:lang w:val="uk-UA" w:eastAsia="ru-RU"/>
          <w14:textFill>
            <w14:solidFill>
              <w14:schemeClr w14:val="tx1"/>
            </w14:solidFill>
          </w14:textFill>
        </w:rPr>
        <w:t xml:space="preserve"> </w:t>
      </w:r>
    </w:p>
    <w:p w14:paraId="4FF3DC4B">
      <w:pPr>
        <w:pStyle w:val="10"/>
        <w:numPr>
          <w:ilvl w:val="0"/>
          <w:numId w:val="1"/>
        </w:numPr>
        <w:spacing w:after="0" w:line="240" w:lineRule="auto"/>
        <w:jc w:val="both"/>
        <w:rPr>
          <w:rFonts w:hint="default" w:ascii="Times New Roman" w:hAnsi="Times New Roman" w:eastAsia="Times New Roman" w:cs="Times New Roman"/>
          <w:sz w:val="24"/>
          <w:szCs w:val="24"/>
          <w:lang w:val="uk-UA" w:eastAsia="ru-RU"/>
        </w:rPr>
      </w:pPr>
      <w:r>
        <w:rPr>
          <w:rFonts w:hint="default" w:ascii="Times New Roman" w:hAnsi="Times New Roman" w:eastAsia="Times New Roman" w:cs="Times New Roman"/>
          <w:color w:val="000000" w:themeColor="text1"/>
          <w:sz w:val="24"/>
          <w:szCs w:val="24"/>
          <w:lang w:val="uk-UA" w:eastAsia="ru-RU"/>
          <w14:textFill>
            <w14:solidFill>
              <w14:schemeClr w14:val="tx1"/>
            </w14:solidFill>
          </w14:textFill>
        </w:rPr>
        <w:t xml:space="preserve">«Надання загальної середньої освіти закладами загальної середньої освіти за рахунок коштів місцевого бюджету» </w:t>
      </w:r>
      <w:r>
        <w:rPr>
          <w:rFonts w:hint="default" w:ascii="Times New Roman" w:hAnsi="Times New Roman" w:cs="Times New Roman"/>
          <w:color w:val="000000" w:themeColor="text1"/>
          <w:sz w:val="24"/>
          <w:szCs w:val="24"/>
          <w:lang w:val="uk-UA"/>
          <w14:textFill>
            <w14:solidFill>
              <w14:schemeClr w14:val="tx1"/>
            </w14:solidFill>
          </w14:textFill>
        </w:rPr>
        <w:t xml:space="preserve">за КПКВК 0611021 КФКВК 0921- 456 644,05 </w:t>
      </w:r>
      <w:r>
        <w:rPr>
          <w:rFonts w:hint="default" w:ascii="Times New Roman" w:hAnsi="Times New Roman" w:cs="Times New Roman"/>
          <w:sz w:val="24"/>
          <w:szCs w:val="24"/>
          <w:lang w:val="uk-UA"/>
        </w:rPr>
        <w:t>грн.</w:t>
      </w:r>
      <w:r>
        <w:rPr>
          <w:rFonts w:hint="default" w:ascii="Times New Roman" w:hAnsi="Times New Roman" w:cs="Times New Roman"/>
          <w:color w:val="000000" w:themeColor="text1"/>
          <w:sz w:val="24"/>
          <w:szCs w:val="24"/>
          <w:lang w:val="uk-UA"/>
          <w14:textFill>
            <w14:solidFill>
              <w14:schemeClr w14:val="tx1"/>
            </w14:solidFill>
          </w14:textFill>
        </w:rPr>
        <w:t>,</w:t>
      </w:r>
      <w:r>
        <w:rPr>
          <w:rFonts w:hint="default" w:ascii="Times New Roman" w:hAnsi="Times New Roman" w:cs="Times New Roman"/>
          <w:sz w:val="24"/>
          <w:szCs w:val="24"/>
          <w:lang w:val="uk-UA"/>
        </w:rPr>
        <w:t xml:space="preserve"> </w:t>
      </w:r>
    </w:p>
    <w:p w14:paraId="2E387130">
      <w:pPr>
        <w:pStyle w:val="10"/>
        <w:numPr>
          <w:ilvl w:val="0"/>
          <w:numId w:val="1"/>
        </w:numPr>
        <w:spacing w:after="150" w:line="240" w:lineRule="auto"/>
        <w:jc w:val="both"/>
        <w:rPr>
          <w:rFonts w:hint="default" w:ascii="Times New Roman" w:hAnsi="Times New Roman" w:eastAsia="Times New Roman" w:cs="Times New Roman"/>
          <w:sz w:val="24"/>
          <w:szCs w:val="24"/>
          <w:lang w:val="uk-UA" w:eastAsia="ru-RU"/>
        </w:rPr>
      </w:pPr>
      <w:r>
        <w:rPr>
          <w:rFonts w:hint="default" w:ascii="Times New Roman" w:hAnsi="Times New Roman" w:cs="Times New Roman"/>
          <w:sz w:val="24"/>
          <w:szCs w:val="24"/>
          <w:lang w:val="uk-UA"/>
        </w:rPr>
        <w:t>«</w:t>
      </w:r>
      <w:r>
        <w:rPr>
          <w:rFonts w:hint="default" w:ascii="Times New Roman" w:hAnsi="Times New Roman" w:cs="Times New Roman"/>
          <w:color w:val="000000" w:themeColor="text1"/>
          <w:sz w:val="24"/>
          <w:szCs w:val="24"/>
          <w:lang w:val="uk-UA"/>
          <w14:textFill>
            <w14:solidFill>
              <w14:schemeClr w14:val="tx1"/>
            </w14:solidFill>
          </w14:textFill>
        </w:rPr>
        <w:t>Забезпечення діяльності інклюзивно-ресурсних центрів за рахунок коштів місцевого бюджету» за КПКВК 0611151 КФКВК 0990</w:t>
      </w:r>
      <w:r>
        <w:rPr>
          <w:rFonts w:hint="default" w:ascii="Times New Roman" w:hAnsi="Times New Roman" w:cs="Times New Roman"/>
          <w:sz w:val="24"/>
          <w:szCs w:val="24"/>
          <w:lang w:val="uk-UA"/>
        </w:rPr>
        <w:t xml:space="preserve"> </w:t>
      </w:r>
      <w:r>
        <w:rPr>
          <w:rFonts w:hint="default" w:ascii="Times New Roman" w:hAnsi="Times New Roman" w:eastAsia="Times New Roman" w:cs="Times New Roman"/>
          <w:sz w:val="24"/>
          <w:szCs w:val="24"/>
          <w:lang w:val="uk-UA" w:eastAsia="ru-RU"/>
        </w:rPr>
        <w:t xml:space="preserve">становить  26 500,00 грн. </w:t>
      </w:r>
    </w:p>
    <w:bookmarkEnd w:id="0"/>
    <w:p w14:paraId="0DDF0324">
      <w:pPr>
        <w:spacing w:before="280" w:after="28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 xml:space="preserve">Обґрунтування технічних  та якісних характеристик. </w:t>
      </w:r>
      <w:r>
        <w:rPr>
          <w:rFonts w:ascii="Times New Roman" w:hAnsi="Times New Roman" w:eastAsia="Times New Roman" w:cs="Times New Roman"/>
          <w:sz w:val="24"/>
          <w:szCs w:val="24"/>
          <w:lang w:eastAsia="ru-RU"/>
        </w:rPr>
        <w:t xml:space="preserve">Термін постачання до </w:t>
      </w:r>
      <w:r>
        <w:rPr>
          <w:rFonts w:ascii="Times New Roman" w:hAnsi="Times New Roman" w:cs="Times New Roman"/>
          <w:sz w:val="24"/>
          <w:szCs w:val="24"/>
          <w:shd w:val="clear" w:color="auto" w:fill="FFFFFF"/>
        </w:rPr>
        <w:t>31 груд</w:t>
      </w:r>
      <w:r>
        <w:rPr>
          <w:rFonts w:ascii="Times New Roman" w:hAnsi="Times New Roman" w:cs="Times New Roman"/>
          <w:sz w:val="24"/>
          <w:szCs w:val="24"/>
          <w:shd w:val="clear" w:color="auto" w:fill="FFFFFF"/>
          <w:lang w:val="uk-UA"/>
        </w:rPr>
        <w:t xml:space="preserve">ня </w:t>
      </w:r>
      <w:r>
        <w:rPr>
          <w:rFonts w:ascii="Times New Roman" w:hAnsi="Times New Roman" w:cs="Times New Roman"/>
          <w:sz w:val="24"/>
          <w:szCs w:val="24"/>
          <w:shd w:val="clear" w:color="auto" w:fill="FFFFFF"/>
        </w:rPr>
        <w:t xml:space="preserve"> 202</w:t>
      </w:r>
      <w:r>
        <w:rPr>
          <w:rFonts w:ascii="Times New Roman" w:hAnsi="Times New Roman" w:cs="Times New Roman"/>
          <w:sz w:val="24"/>
          <w:szCs w:val="24"/>
          <w:shd w:val="clear" w:color="auto" w:fill="FFFFFF"/>
          <w:lang w:val="uk-UA"/>
        </w:rPr>
        <w:t xml:space="preserve">4 </w:t>
      </w:r>
      <w:r>
        <w:rPr>
          <w:rFonts w:ascii="Times New Roman" w:hAnsi="Times New Roman" w:eastAsia="Times New Roman" w:cs="Times New Roman"/>
          <w:sz w:val="24"/>
          <w:szCs w:val="24"/>
          <w:lang w:eastAsia="ru-RU"/>
        </w:rPr>
        <w:t>року. </w:t>
      </w:r>
    </w:p>
    <w:p w14:paraId="264BAFA6">
      <w:pPr>
        <w:spacing w:before="280" w:after="280" w:line="240" w:lineRule="auto"/>
        <w:jc w:val="both"/>
        <w:rPr>
          <w:rFonts w:ascii="Times New Roman" w:hAnsi="Times New Roman" w:eastAsia="Times New Roman" w:cs="Times New Roman"/>
          <w:color w:val="000000"/>
          <w:sz w:val="24"/>
          <w:szCs w:val="24"/>
          <w:lang w:val="uk-UA" w:eastAsia="uk-UA"/>
        </w:rPr>
      </w:pPr>
      <w:r>
        <w:rPr>
          <w:rFonts w:ascii="Times New Roman" w:hAnsi="Times New Roman" w:eastAsia="Times New Roman" w:cs="Times New Roman"/>
          <w:b/>
          <w:sz w:val="24"/>
          <w:szCs w:val="24"/>
          <w:lang w:val="uk-UA" w:eastAsia="ru-RU"/>
        </w:rPr>
        <w:t xml:space="preserve">Технічні вимоги </w:t>
      </w:r>
      <w:r>
        <w:rPr>
          <w:rFonts w:ascii="Times New Roman" w:hAnsi="Times New Roman" w:eastAsia="Times New Roman" w:cs="Times New Roman"/>
          <w:color w:val="000000"/>
          <w:sz w:val="24"/>
          <w:szCs w:val="24"/>
          <w:lang w:val="uk-UA" w:eastAsia="uk-UA"/>
        </w:rPr>
        <w:t>Щорічний періодичний медичний огляд працівників</w:t>
      </w:r>
    </w:p>
    <w:p w14:paraId="1B7FA3BC">
      <w:pPr>
        <w:pStyle w:val="14"/>
        <w:rPr>
          <w:color w:val="000000"/>
        </w:rPr>
      </w:pPr>
      <w:r>
        <w:rPr>
          <w:color w:val="000000"/>
        </w:rPr>
        <w:t xml:space="preserve">Виконавець послуги, повинен надати комплекс заходів щодо проведення періодичного медичного огляду працівників на виконання Постанови КМУ  </w:t>
      </w:r>
      <w:r>
        <w:rPr>
          <w:bCs/>
          <w:color w:val="000000"/>
        </w:rPr>
        <w:t>від 23 травня 2001 р.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r>
        <w:rPr>
          <w:color w:val="000000"/>
        </w:rPr>
        <w:t xml:space="preserve"> </w:t>
      </w:r>
    </w:p>
    <w:p w14:paraId="58260E0B">
      <w:pPr>
        <w:pStyle w:val="14"/>
        <w:rPr>
          <w:color w:val="000000"/>
        </w:rPr>
      </w:pPr>
      <w:r>
        <w:rPr>
          <w:color w:val="000000"/>
        </w:rPr>
        <w:t>Основами законодавства України про охорону здоров’я, Законами України «Про забезпечення санітарного та епідемічного благополуччя населення» та «Про захист населення від інфекційних хвороб», зокрема, встановлено, що з метою охорони здоров’я населення організуються профілактичні медичні огляди ряду категорій громадян, професійна чи інша діяльність яких пов’язана з обслуговуванням населення і може спричинити поширення інфекційних захворювань, виникнення харчових отруєнь, а також працівників, зайнятих на важких роботах і на роботах зі шкідливими або небезпечними умовами праці, військовослужбовців. Серед них – працівники дошкільних і навчальних закладів.</w:t>
      </w:r>
    </w:p>
    <w:p w14:paraId="75D15104">
      <w:pPr>
        <w:pStyle w:val="15"/>
        <w:rPr>
          <w:color w:val="000000"/>
        </w:rPr>
      </w:pPr>
      <w:r>
        <w:rPr>
          <w:color w:val="000000"/>
        </w:rPr>
        <w:t>Переможець процедури закупівлі зобов’язується дотримуватись переліку необхідних обстежень лікарів-спеціалістів, видів клінічних, лабораторних та інших досліджень, що необхідні для проведення обов'язкових медичних оглядів, які затверджені Наказом Міністерства охорони здоров'я України 23.07.2002 № 280 «</w:t>
      </w:r>
      <w:r>
        <w:rPr>
          <w:bCs/>
          <w:color w:val="000000"/>
          <w:shd w:val="clear" w:color="auto" w:fill="FFFFFF"/>
        </w:rPr>
        <w:t>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w:t>
      </w:r>
      <w:r>
        <w:rPr>
          <w:color w:val="000000"/>
        </w:rPr>
        <w:t>».</w:t>
      </w:r>
    </w:p>
    <w:p w14:paraId="28F3917E">
      <w:pPr>
        <w:pStyle w:val="15"/>
        <w:rPr>
          <w:color w:val="000000"/>
        </w:rPr>
      </w:pPr>
      <w:r>
        <w:rPr>
          <w:color w:val="000000"/>
        </w:rPr>
        <w:t>Умови надання послуг: Виконавець забезпечує проведення періодичних профілактичних медичних оглядів працівникам закладів освіти відповідно до умов і вимог наказів:</w:t>
      </w:r>
    </w:p>
    <w:p w14:paraId="38FE4120">
      <w:pPr>
        <w:pStyle w:val="15"/>
        <w:rPr>
          <w:color w:val="000000"/>
        </w:rPr>
      </w:pPr>
      <w:r>
        <w:rPr>
          <w:color w:val="000000"/>
        </w:rPr>
        <w:t>- МОЗ України від 23.07.2002 № 280 «Щодо організації проведення обов’язкових профілактичних медичних оглядів працівниками окремих професій, виробництв і організацій, діяльність яких пов’язана з обслуговуванням населення і може призвести до поширення інфекційних хвороб» зареєстрованого у Міністерстві юстиції України 8 серпня 2002 р. за № 639/6927.</w:t>
      </w:r>
    </w:p>
    <w:p w14:paraId="3E6C798B">
      <w:pPr>
        <w:pStyle w:val="15"/>
        <w:rPr>
          <w:b/>
          <w:color w:val="000000"/>
        </w:rPr>
      </w:pPr>
      <w:r>
        <w:rPr>
          <w:b/>
          <w:color w:val="000000"/>
        </w:rPr>
        <w:t>Вимоги до закладу охорони здоров’я:</w:t>
      </w:r>
    </w:p>
    <w:p w14:paraId="2A54617E">
      <w:pPr>
        <w:pStyle w:val="15"/>
        <w:rPr>
          <w:color w:val="000000"/>
        </w:rPr>
      </w:pPr>
      <w:r>
        <w:rPr>
          <w:color w:val="000000"/>
        </w:rPr>
        <w:t>1. Заклад охорони здоров’я, медичною комісією якого проводяться попередній, періодичний медичні огляди працівників повинен мати акредитацію відповідно до вимог Порядку акредитації закладу охорони здоров'я, затвердженого постановою Кабінету Міністрів України від 15.07.1997 № 765 - надати копію акредитаційного сертифікату.</w:t>
      </w:r>
    </w:p>
    <w:p w14:paraId="30BB1E0B">
      <w:pPr>
        <w:pStyle w:val="15"/>
        <w:rPr>
          <w:color w:val="000000"/>
        </w:rPr>
      </w:pPr>
      <w:r>
        <w:rPr>
          <w:color w:val="000000"/>
        </w:rPr>
        <w:t>2. Заклад охорони здоров’я, медичною комісією якого проводяться попередній, періодичний медичні огляди працівників, повинен мати ліцензію на провадження господарської діяльності з медичної практики, отриману відповідно до вимог постанови Кабінету Міністрів України від 02.03.2016 № 285 - надати копію ліцензії.</w:t>
      </w:r>
    </w:p>
    <w:p w14:paraId="2186CD75">
      <w:pPr>
        <w:pStyle w:val="15"/>
        <w:rPr>
          <w:color w:val="000000"/>
        </w:rPr>
      </w:pPr>
      <w:r>
        <w:rPr>
          <w:color w:val="000000"/>
        </w:rPr>
        <w:t xml:space="preserve">3. Заклад охорони здоров’я, медичною комісією якого проводяться медичні огляди працівників, повинен здійснювати свою діяльність відповідно до вимог Порядку проведення медичних оглядів працівників певних категорій, затвердженого Наказом Міністерства охорони здоров’я України від 23.07.2002 № 280. </w:t>
      </w:r>
    </w:p>
    <w:p w14:paraId="2023F397">
      <w:pPr>
        <w:pStyle w:val="15"/>
        <w:rPr>
          <w:color w:val="000000"/>
        </w:rPr>
      </w:pPr>
      <w:r>
        <w:rPr>
          <w:color w:val="000000"/>
        </w:rPr>
        <w:t xml:space="preserve">4. Послуги повинні бути виконані </w:t>
      </w:r>
      <w:r>
        <w:rPr>
          <w:b/>
          <w:color w:val="000000"/>
        </w:rPr>
        <w:t>на території  Замовника м. Коломия</w:t>
      </w:r>
      <w:r>
        <w:rPr>
          <w:color w:val="000000"/>
        </w:rPr>
        <w:t xml:space="preserve"> (період медичного огляду : з моменту підписання договору до 31 грудня 2024 року). Послуги надаються за заявкою замовника.</w:t>
      </w:r>
    </w:p>
    <w:p w14:paraId="3CCF0AB0">
      <w:pPr>
        <w:pStyle w:val="15"/>
        <w:rPr>
          <w:color w:val="000000"/>
        </w:rPr>
      </w:pPr>
      <w:r>
        <w:rPr>
          <w:color w:val="000000"/>
        </w:rPr>
        <w:t>5. Виконавець надає все необхідне обладнання для надання послуг, у т.ч. рентгенівський діагностичний комплекс (комплекс повинен бути на території  Замовника м. Коломия).</w:t>
      </w:r>
    </w:p>
    <w:p w14:paraId="7F76E820">
      <w:pPr>
        <w:pStyle w:val="15"/>
        <w:rPr>
          <w:color w:val="000000"/>
        </w:rPr>
      </w:pPr>
      <w:r>
        <w:rPr>
          <w:color w:val="000000"/>
        </w:rPr>
        <w:t xml:space="preserve"> 6. Медичні огляди працівників Управління освіти буть проводитися по заявці Замовника.</w:t>
      </w:r>
    </w:p>
    <w:p w14:paraId="71DDCF58">
      <w:pPr>
        <w:pStyle w:val="15"/>
        <w:shd w:val="clear" w:color="auto" w:fill="FFFFFF"/>
        <w:rPr>
          <w:color w:val="000000"/>
        </w:rPr>
      </w:pPr>
      <w:r>
        <w:rPr>
          <w:color w:val="000000"/>
        </w:rPr>
        <w:t xml:space="preserve">7. За результатами проходження медичного огляду Виконавець надає відповідні документи Замовнику згідно наказу Міністерства охорони здоров’я України №280 від 23.07.2002 року  ( форму № 1-ОМК «Особиста медична книжка» (далі – форма № 1-ОМК), затверджену наказом Міністерства охорони здоров’я України від 21 лютого 2013 року № 150, яка повинна відповідати технічному опису бланка згідно Наказу МОЗ від 08.07.2013 року № 583 після закінчення медогляду у разі відсутності протипоказань для зайняття відповідним видом діяльності заклад охорони здоров'я видає Особі, яка пройшла медичний огляд </w:t>
      </w:r>
      <w:r>
        <w:rPr>
          <w:color w:val="000000"/>
          <w:shd w:val="clear" w:color="auto" w:fill="FFFFFF"/>
        </w:rPr>
        <w:t xml:space="preserve">Медичну книжку </w:t>
      </w:r>
      <w:r>
        <w:rPr>
          <w:color w:val="000000"/>
        </w:rPr>
        <w:t>форма № 1-ОМК</w:t>
      </w:r>
      <w:r>
        <w:rPr>
          <w:color w:val="000000"/>
          <w:shd w:val="clear" w:color="auto" w:fill="FFFFFF"/>
        </w:rPr>
        <w:t xml:space="preserve"> /або робляться відповідні відмітки про проходження медогляду в наявній медичній книжці.</w:t>
      </w:r>
    </w:p>
    <w:p w14:paraId="496F03FA">
      <w:pPr>
        <w:pStyle w:val="15"/>
        <w:rPr>
          <w:color w:val="000000"/>
          <w:shd w:val="clear" w:color="auto" w:fill="FFFFFF"/>
        </w:rPr>
      </w:pPr>
      <w:r>
        <w:rPr>
          <w:color w:val="000000"/>
        </w:rPr>
        <w:t xml:space="preserve">8. </w:t>
      </w:r>
      <w:r>
        <w:rPr>
          <w:color w:val="000000"/>
          <w:shd w:val="clear" w:color="auto" w:fill="FFFFFF"/>
        </w:rPr>
        <w:t>Усі результати обстеження, що проводяться лікарями-спеціалістами (у тому числі лабораторних, клінічних та інших досліджень), обов'язково заносяться до особистої медичної книжки.</w:t>
      </w:r>
    </w:p>
    <w:p w14:paraId="7E7C03DB">
      <w:pPr>
        <w:pStyle w:val="13"/>
        <w:shd w:val="clear" w:color="auto" w:fill="FFFFFF"/>
        <w:jc w:val="both"/>
        <w:rPr>
          <w:color w:val="000000"/>
        </w:rPr>
      </w:pPr>
      <w:r>
        <w:rPr>
          <w:color w:val="000000"/>
        </w:rPr>
        <w:t>На підставі результатів обстеження кожен лікар-спеціаліст робить висновок щодо можливості допущення працівника до роботи.</w:t>
      </w:r>
    </w:p>
    <w:p w14:paraId="172C2899">
      <w:pPr>
        <w:pStyle w:val="13"/>
        <w:shd w:val="clear" w:color="auto" w:fill="FFFFFF"/>
        <w:jc w:val="both"/>
        <w:rPr>
          <w:color w:val="000000"/>
        </w:rPr>
      </w:pPr>
      <w:r>
        <w:rPr>
          <w:color w:val="000000"/>
        </w:rPr>
        <w:t>9. При наданні послуг використовувати дозволені до застосування на території України препарати (засоби), придбані за рахунок Виконавця.</w:t>
      </w:r>
    </w:p>
    <w:p w14:paraId="54792AFD">
      <w:pPr>
        <w:pStyle w:val="15"/>
        <w:rPr>
          <w:color w:val="000000"/>
        </w:rPr>
      </w:pPr>
      <w:r>
        <w:rPr>
          <w:color w:val="000000"/>
        </w:rPr>
        <w:t xml:space="preserve">Строк (термін) надання послуг: період медичного огляду  з моменту підписання договору до </w:t>
      </w:r>
      <w:r>
        <w:rPr>
          <w:b/>
          <w:color w:val="000000"/>
        </w:rPr>
        <w:t>31 грудня 2024 року включно</w:t>
      </w:r>
      <w:r>
        <w:rPr>
          <w:color w:val="000000"/>
        </w:rPr>
        <w:t xml:space="preserve">. (Послуги з проходження працівниками щорічного періодичного медичного огляду здійснюється не рідше ніж 3 рази на тиждень за сформованими  Замовником заявками, які погоджуються  із Виконавцем в письмовій чи іншій формі (телефоном, поштою, скан-копією листа на електронну пошту) із зазначення дати, кількості працівників та місця проведення оглядів.) </w:t>
      </w:r>
    </w:p>
    <w:p w14:paraId="565F7F32">
      <w:pPr>
        <w:pStyle w:val="13"/>
        <w:jc w:val="both"/>
        <w:rPr>
          <w:bCs/>
          <w:color w:val="000000"/>
          <w:shd w:val="clear" w:color="auto" w:fill="FFFFFF"/>
        </w:rPr>
      </w:pPr>
      <w:r>
        <w:rPr>
          <w:b/>
          <w:color w:val="000000"/>
        </w:rPr>
        <w:t>Учасник визначає ціну на послуги, який він пропонує виконати за Договором, з урахуванням податків і зборів, що сплачуються або мають бути сплачені, а також всіх інших витрат:</w:t>
      </w:r>
    </w:p>
    <w:p w14:paraId="45E70327">
      <w:pPr>
        <w:pStyle w:val="13"/>
        <w:numPr>
          <w:ilvl w:val="0"/>
          <w:numId w:val="2"/>
        </w:numPr>
        <w:ind w:left="0"/>
        <w:jc w:val="both"/>
        <w:rPr>
          <w:color w:val="000000"/>
        </w:rPr>
      </w:pPr>
      <w:r>
        <w:rPr>
          <w:color w:val="000000"/>
        </w:rPr>
        <w:t>виїзд медичної комісії (спеціалістів) до місця розташування пункту Замовника (якщо вони знаходяться не у м. Коломия)/  та або відвідування працівниками  Управління освіти закладу  охорони здоров’я (якщо він розташований на території м. Коломия);</w:t>
      </w:r>
    </w:p>
    <w:p w14:paraId="5835DBFB">
      <w:pPr>
        <w:pStyle w:val="13"/>
        <w:numPr>
          <w:ilvl w:val="0"/>
          <w:numId w:val="2"/>
        </w:numPr>
        <w:ind w:left="0"/>
        <w:jc w:val="both"/>
        <w:rPr>
          <w:color w:val="000000"/>
        </w:rPr>
      </w:pPr>
      <w:r>
        <w:rPr>
          <w:color w:val="000000"/>
        </w:rPr>
        <w:t xml:space="preserve">відправлення та доставка документів/ отримання документів особисто особою, що проходила комісію, якщо заклад  охорони здоров’я , розташований  не на території м. Коломия; </w:t>
      </w:r>
    </w:p>
    <w:p w14:paraId="5ACBD487">
      <w:pPr>
        <w:pStyle w:val="13"/>
        <w:numPr>
          <w:ilvl w:val="0"/>
          <w:numId w:val="2"/>
        </w:numPr>
        <w:ind w:left="0"/>
        <w:jc w:val="both"/>
        <w:rPr>
          <w:color w:val="000000"/>
        </w:rPr>
      </w:pPr>
      <w:r>
        <w:rPr>
          <w:color w:val="000000"/>
        </w:rPr>
        <w:t xml:space="preserve"> придбання препаратів (засобів), які дозволені до застосування на території України при проведені медичного огляду.</w:t>
      </w:r>
    </w:p>
    <w:p w14:paraId="3DCBCFEE">
      <w:pPr>
        <w:pStyle w:val="13"/>
        <w:jc w:val="both"/>
        <w:rPr>
          <w:color w:val="000000"/>
        </w:rPr>
      </w:pPr>
      <w:r>
        <w:rPr>
          <w:color w:val="000000"/>
        </w:rPr>
        <w:t xml:space="preserve"> </w:t>
      </w:r>
    </w:p>
    <w:p w14:paraId="34042FAE">
      <w:pPr>
        <w:pStyle w:val="14"/>
        <w:rPr>
          <w:b/>
          <w:color w:val="000000"/>
        </w:rPr>
      </w:pPr>
      <w:r>
        <w:rPr>
          <w:b/>
          <w:color w:val="000000"/>
        </w:rPr>
        <w:t>Перелік та обсяг послуг:</w:t>
      </w:r>
    </w:p>
    <w:tbl>
      <w:tblPr>
        <w:tblStyle w:val="16"/>
        <w:tblW w:w="0" w:type="auto"/>
        <w:tblInd w:w="0" w:type="dxa"/>
        <w:tblLayout w:type="fixed"/>
        <w:tblCellMar>
          <w:top w:w="15" w:type="dxa"/>
          <w:left w:w="15" w:type="dxa"/>
          <w:bottom w:w="15" w:type="dxa"/>
          <w:right w:w="15" w:type="dxa"/>
        </w:tblCellMar>
      </w:tblPr>
      <w:tblGrid>
        <w:gridCol w:w="810"/>
        <w:gridCol w:w="6090"/>
        <w:gridCol w:w="1695"/>
        <w:gridCol w:w="1410"/>
      </w:tblGrid>
      <w:tr w14:paraId="08852812">
        <w:tblPrEx>
          <w:tblCellMar>
            <w:top w:w="15" w:type="dxa"/>
            <w:left w:w="15" w:type="dxa"/>
            <w:bottom w:w="15" w:type="dxa"/>
            <w:right w:w="15" w:type="dxa"/>
          </w:tblCellMar>
        </w:tblPrEx>
        <w:tc>
          <w:tcPr>
            <w:tcW w:w="810" w:type="dxa"/>
            <w:tcBorders>
              <w:top w:val="outset" w:color="auto" w:sz="6" w:space="0"/>
              <w:left w:val="outset" w:color="auto" w:sz="6" w:space="0"/>
              <w:bottom w:val="outset" w:color="auto" w:sz="6" w:space="0"/>
              <w:right w:val="outset" w:color="auto" w:sz="6" w:space="0"/>
            </w:tcBorders>
          </w:tcPr>
          <w:p w14:paraId="75FFED76">
            <w:pPr>
              <w:pStyle w:val="13"/>
              <w:jc w:val="center"/>
              <w:rPr>
                <w:b/>
                <w:bCs/>
              </w:rPr>
            </w:pPr>
            <w:r>
              <w:rPr>
                <w:b/>
                <w:bCs/>
              </w:rPr>
              <w:t>№  п/п</w:t>
            </w:r>
          </w:p>
        </w:tc>
        <w:tc>
          <w:tcPr>
            <w:tcW w:w="6090" w:type="dxa"/>
            <w:tcBorders>
              <w:top w:val="outset" w:color="auto" w:sz="6" w:space="0"/>
              <w:left w:val="outset" w:color="auto" w:sz="6" w:space="0"/>
              <w:bottom w:val="outset" w:color="auto" w:sz="6" w:space="0"/>
              <w:right w:val="outset" w:color="auto" w:sz="6" w:space="0"/>
            </w:tcBorders>
          </w:tcPr>
          <w:p w14:paraId="5741ECB0">
            <w:pPr>
              <w:pStyle w:val="13"/>
              <w:jc w:val="center"/>
              <w:rPr>
                <w:b/>
                <w:bCs/>
              </w:rPr>
            </w:pPr>
            <w:r>
              <w:rPr>
                <w:b/>
                <w:bCs/>
              </w:rPr>
              <w:t xml:space="preserve">Назва послуги </w:t>
            </w:r>
          </w:p>
        </w:tc>
        <w:tc>
          <w:tcPr>
            <w:tcW w:w="1695" w:type="dxa"/>
            <w:tcBorders>
              <w:top w:val="outset" w:color="auto" w:sz="6" w:space="0"/>
              <w:left w:val="outset" w:color="auto" w:sz="6" w:space="0"/>
              <w:bottom w:val="outset" w:color="auto" w:sz="6" w:space="0"/>
              <w:right w:val="outset" w:color="auto" w:sz="6" w:space="0"/>
            </w:tcBorders>
          </w:tcPr>
          <w:p w14:paraId="54C329F0">
            <w:pPr>
              <w:pStyle w:val="13"/>
              <w:jc w:val="center"/>
              <w:rPr>
                <w:b/>
                <w:bCs/>
                <w:color w:val="000000"/>
              </w:rPr>
            </w:pPr>
            <w:r>
              <w:rPr>
                <w:b/>
                <w:bCs/>
              </w:rPr>
              <w:t>Одиниця виміру</w:t>
            </w:r>
          </w:p>
        </w:tc>
        <w:tc>
          <w:tcPr>
            <w:tcW w:w="1410" w:type="dxa"/>
            <w:tcBorders>
              <w:top w:val="outset" w:color="auto" w:sz="6" w:space="0"/>
              <w:left w:val="outset" w:color="auto" w:sz="6" w:space="0"/>
              <w:bottom w:val="outset" w:color="auto" w:sz="6" w:space="0"/>
              <w:right w:val="outset" w:color="auto" w:sz="6" w:space="0"/>
            </w:tcBorders>
          </w:tcPr>
          <w:p w14:paraId="483DD9D5">
            <w:pPr>
              <w:pStyle w:val="13"/>
              <w:jc w:val="center"/>
              <w:rPr>
                <w:b/>
                <w:bCs/>
              </w:rPr>
            </w:pPr>
            <w:r>
              <w:rPr>
                <w:b/>
                <w:bCs/>
              </w:rPr>
              <w:t>Кількість</w:t>
            </w:r>
          </w:p>
        </w:tc>
      </w:tr>
      <w:tr w14:paraId="7E393474">
        <w:tblPrEx>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0C31EC9F">
            <w:pPr>
              <w:pStyle w:val="10"/>
              <w:numPr>
                <w:ilvl w:val="0"/>
                <w:numId w:val="3"/>
              </w:numPr>
              <w:spacing w:before="100" w:beforeAutospacing="1" w:after="100" w:afterAutospacing="1" w:line="256" w:lineRule="auto"/>
              <w:jc w:val="both"/>
              <w:rPr>
                <w:rFonts w:ascii="Times New Roman" w:hAnsi="Times New Roman" w:eastAsia="Calibri" w:cs="Times New Roman"/>
                <w:color w:val="000000"/>
                <w:sz w:val="24"/>
                <w:szCs w:val="24"/>
                <w:lang w:eastAsia="uk-UA"/>
              </w:rPr>
            </w:pPr>
          </w:p>
        </w:tc>
        <w:tc>
          <w:tcPr>
            <w:tcW w:w="6090" w:type="dxa"/>
            <w:tcBorders>
              <w:top w:val="nil"/>
              <w:left w:val="outset" w:color="auto" w:sz="6" w:space="0"/>
              <w:bottom w:val="outset" w:color="auto" w:sz="6" w:space="0"/>
              <w:right w:val="outset" w:color="auto" w:sz="6" w:space="0"/>
            </w:tcBorders>
          </w:tcPr>
          <w:p w14:paraId="2258FEEA">
            <w:pPr>
              <w:pStyle w:val="13"/>
            </w:pPr>
            <w:r>
              <w:rPr>
                <w:shd w:val="clear" w:color="auto" w:fill="FFFFFF"/>
              </w:rPr>
              <w:t>Проведення медичного огляду лікарем-терапевтом (висновок «Допуск до роботи»)</w:t>
            </w:r>
          </w:p>
        </w:tc>
        <w:tc>
          <w:tcPr>
            <w:tcW w:w="1695" w:type="dxa"/>
            <w:tcBorders>
              <w:top w:val="nil"/>
              <w:left w:val="outset" w:color="auto" w:sz="6" w:space="0"/>
              <w:bottom w:val="outset" w:color="auto" w:sz="6" w:space="0"/>
              <w:right w:val="outset" w:color="auto" w:sz="6" w:space="0"/>
            </w:tcBorders>
          </w:tcPr>
          <w:p w14:paraId="634BE545">
            <w:pPr>
              <w:pStyle w:val="13"/>
              <w:jc w:val="center"/>
            </w:pPr>
            <w:r>
              <w:t>послуга</w:t>
            </w:r>
          </w:p>
        </w:tc>
        <w:tc>
          <w:tcPr>
            <w:tcW w:w="1410" w:type="dxa"/>
            <w:tcBorders>
              <w:top w:val="nil"/>
              <w:left w:val="outset" w:color="auto" w:sz="6" w:space="0"/>
              <w:bottom w:val="outset" w:color="auto" w:sz="6" w:space="0"/>
              <w:right w:val="outset" w:color="auto" w:sz="6" w:space="0"/>
            </w:tcBorders>
          </w:tcPr>
          <w:p w14:paraId="07C6A0A4">
            <w:pPr>
              <w:pStyle w:val="13"/>
              <w:jc w:val="center"/>
              <w:rPr>
                <w:color w:val="000000"/>
              </w:rPr>
            </w:pPr>
            <w:r>
              <w:rPr>
                <w:color w:val="000000"/>
              </w:rPr>
              <w:t>466</w:t>
            </w:r>
          </w:p>
        </w:tc>
      </w:tr>
      <w:tr w14:paraId="7A8B1976">
        <w:tblPrEx>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045E4E2C">
            <w:pPr>
              <w:pStyle w:val="10"/>
              <w:numPr>
                <w:ilvl w:val="0"/>
                <w:numId w:val="3"/>
              </w:numPr>
              <w:spacing w:before="100" w:beforeAutospacing="1" w:after="100" w:afterAutospacing="1" w:line="256" w:lineRule="auto"/>
              <w:jc w:val="both"/>
              <w:rPr>
                <w:rFonts w:ascii="Times New Roman" w:hAnsi="Times New Roman" w:eastAsia="Calibri" w:cs="Times New Roman"/>
                <w:color w:val="000000"/>
                <w:sz w:val="24"/>
                <w:szCs w:val="24"/>
                <w:lang w:eastAsia="uk-UA"/>
              </w:rPr>
            </w:pPr>
          </w:p>
        </w:tc>
        <w:tc>
          <w:tcPr>
            <w:tcW w:w="6090" w:type="dxa"/>
            <w:tcBorders>
              <w:top w:val="nil"/>
              <w:left w:val="outset" w:color="auto" w:sz="6" w:space="0"/>
              <w:bottom w:val="outset" w:color="auto" w:sz="6" w:space="0"/>
              <w:right w:val="outset" w:color="auto" w:sz="6" w:space="0"/>
            </w:tcBorders>
          </w:tcPr>
          <w:p w14:paraId="0E18AFC2">
            <w:pPr>
              <w:pStyle w:val="13"/>
              <w:rPr>
                <w:shd w:val="clear" w:color="auto" w:fill="FFFFFF"/>
              </w:rPr>
            </w:pPr>
            <w:r>
              <w:rPr>
                <w:shd w:val="clear" w:color="auto" w:fill="FFFFFF"/>
              </w:rPr>
              <w:t>Проведення медичного огляду лікарем-оталаринологом</w:t>
            </w:r>
          </w:p>
        </w:tc>
        <w:tc>
          <w:tcPr>
            <w:tcW w:w="1695" w:type="dxa"/>
            <w:tcBorders>
              <w:top w:val="nil"/>
              <w:left w:val="outset" w:color="auto" w:sz="6" w:space="0"/>
              <w:bottom w:val="outset" w:color="auto" w:sz="6" w:space="0"/>
              <w:right w:val="outset" w:color="auto" w:sz="6" w:space="0"/>
            </w:tcBorders>
          </w:tcPr>
          <w:p w14:paraId="685B6DEB">
            <w:pPr>
              <w:pStyle w:val="13"/>
              <w:jc w:val="center"/>
            </w:pPr>
            <w:r>
              <w:t>послуга</w:t>
            </w:r>
          </w:p>
        </w:tc>
        <w:tc>
          <w:tcPr>
            <w:tcW w:w="1410" w:type="dxa"/>
            <w:tcBorders>
              <w:top w:val="nil"/>
              <w:left w:val="outset" w:color="auto" w:sz="6" w:space="0"/>
              <w:bottom w:val="outset" w:color="auto" w:sz="6" w:space="0"/>
              <w:right w:val="outset" w:color="auto" w:sz="6" w:space="0"/>
            </w:tcBorders>
          </w:tcPr>
          <w:p w14:paraId="29763ABF">
            <w:pPr>
              <w:pStyle w:val="13"/>
              <w:jc w:val="center"/>
              <w:rPr>
                <w:color w:val="000000"/>
              </w:rPr>
            </w:pPr>
            <w:r>
              <w:rPr>
                <w:color w:val="000000"/>
              </w:rPr>
              <w:t>49</w:t>
            </w:r>
          </w:p>
        </w:tc>
      </w:tr>
      <w:tr w14:paraId="2A57598D">
        <w:tblPrEx>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2E9A0E75">
            <w:pPr>
              <w:pStyle w:val="10"/>
              <w:numPr>
                <w:ilvl w:val="0"/>
                <w:numId w:val="3"/>
              </w:numPr>
              <w:spacing w:before="100" w:beforeAutospacing="1" w:after="100" w:afterAutospacing="1" w:line="256" w:lineRule="auto"/>
              <w:jc w:val="both"/>
              <w:rPr>
                <w:rFonts w:ascii="Times New Roman" w:hAnsi="Times New Roman" w:eastAsia="Calibri" w:cs="Times New Roman"/>
                <w:color w:val="000000"/>
                <w:sz w:val="24"/>
                <w:szCs w:val="24"/>
                <w:lang w:eastAsia="uk-UA"/>
              </w:rPr>
            </w:pPr>
          </w:p>
        </w:tc>
        <w:tc>
          <w:tcPr>
            <w:tcW w:w="6090" w:type="dxa"/>
            <w:tcBorders>
              <w:top w:val="nil"/>
              <w:left w:val="outset" w:color="auto" w:sz="6" w:space="0"/>
              <w:bottom w:val="outset" w:color="auto" w:sz="6" w:space="0"/>
              <w:right w:val="outset" w:color="auto" w:sz="6" w:space="0"/>
            </w:tcBorders>
          </w:tcPr>
          <w:p w14:paraId="448B58CD">
            <w:pPr>
              <w:pStyle w:val="13"/>
              <w:rPr>
                <w:shd w:val="clear" w:color="auto" w:fill="FFFFFF"/>
              </w:rPr>
            </w:pPr>
            <w:r>
              <w:rPr>
                <w:shd w:val="clear" w:color="auto" w:fill="FFFFFF"/>
              </w:rPr>
              <w:t>Проведення медичного огляду лікарем-дермато-венерологом</w:t>
            </w:r>
          </w:p>
        </w:tc>
        <w:tc>
          <w:tcPr>
            <w:tcW w:w="1695" w:type="dxa"/>
            <w:tcBorders>
              <w:top w:val="nil"/>
              <w:left w:val="outset" w:color="auto" w:sz="6" w:space="0"/>
              <w:bottom w:val="outset" w:color="auto" w:sz="6" w:space="0"/>
              <w:right w:val="outset" w:color="auto" w:sz="6" w:space="0"/>
            </w:tcBorders>
          </w:tcPr>
          <w:p w14:paraId="4FE0CD6D">
            <w:pPr>
              <w:pStyle w:val="13"/>
              <w:jc w:val="center"/>
            </w:pPr>
            <w:r>
              <w:t>послуга</w:t>
            </w:r>
          </w:p>
        </w:tc>
        <w:tc>
          <w:tcPr>
            <w:tcW w:w="1410" w:type="dxa"/>
            <w:tcBorders>
              <w:top w:val="nil"/>
              <w:left w:val="outset" w:color="auto" w:sz="6" w:space="0"/>
              <w:bottom w:val="outset" w:color="auto" w:sz="6" w:space="0"/>
              <w:right w:val="outset" w:color="auto" w:sz="6" w:space="0"/>
            </w:tcBorders>
          </w:tcPr>
          <w:p w14:paraId="1EB9903A">
            <w:pPr>
              <w:pStyle w:val="13"/>
              <w:jc w:val="center"/>
              <w:rPr>
                <w:color w:val="000000"/>
              </w:rPr>
            </w:pPr>
            <w:r>
              <w:rPr>
                <w:color w:val="000000"/>
              </w:rPr>
              <w:t>466</w:t>
            </w:r>
          </w:p>
        </w:tc>
      </w:tr>
      <w:tr w14:paraId="0CF3DCDE">
        <w:tblPrEx>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1199D101">
            <w:pPr>
              <w:pStyle w:val="10"/>
              <w:numPr>
                <w:ilvl w:val="0"/>
                <w:numId w:val="3"/>
              </w:numPr>
              <w:spacing w:before="100" w:beforeAutospacing="1" w:after="100" w:afterAutospacing="1" w:line="256" w:lineRule="auto"/>
              <w:jc w:val="both"/>
              <w:rPr>
                <w:rFonts w:ascii="Times New Roman" w:hAnsi="Times New Roman" w:eastAsia="Calibri" w:cs="Times New Roman"/>
                <w:color w:val="000000"/>
                <w:sz w:val="24"/>
                <w:szCs w:val="24"/>
                <w:lang w:eastAsia="uk-UA"/>
              </w:rPr>
            </w:pPr>
          </w:p>
        </w:tc>
        <w:tc>
          <w:tcPr>
            <w:tcW w:w="6090" w:type="dxa"/>
            <w:tcBorders>
              <w:top w:val="nil"/>
              <w:left w:val="outset" w:color="auto" w:sz="6" w:space="0"/>
              <w:bottom w:val="outset" w:color="auto" w:sz="6" w:space="0"/>
              <w:right w:val="outset" w:color="auto" w:sz="6" w:space="0"/>
            </w:tcBorders>
            <w:shd w:val="clear" w:color="auto" w:fill="FFFFFF"/>
          </w:tcPr>
          <w:p w14:paraId="4EEE5C82">
            <w:pPr>
              <w:pStyle w:val="13"/>
              <w:rPr>
                <w:shd w:val="clear" w:color="auto" w:fill="FFFFFF"/>
              </w:rPr>
            </w:pPr>
            <w:r>
              <w:rPr>
                <w:color w:val="000000"/>
              </w:rPr>
              <w:t>Профілактичне діагностування легень (флюорографія)</w:t>
            </w:r>
          </w:p>
        </w:tc>
        <w:tc>
          <w:tcPr>
            <w:tcW w:w="1695" w:type="dxa"/>
            <w:tcBorders>
              <w:top w:val="nil"/>
              <w:left w:val="outset" w:color="auto" w:sz="6" w:space="0"/>
              <w:bottom w:val="outset" w:color="auto" w:sz="6" w:space="0"/>
              <w:right w:val="outset" w:color="auto" w:sz="6" w:space="0"/>
            </w:tcBorders>
          </w:tcPr>
          <w:p w14:paraId="0E524727">
            <w:pPr>
              <w:pStyle w:val="13"/>
              <w:jc w:val="center"/>
            </w:pPr>
            <w:r>
              <w:t>послуга</w:t>
            </w:r>
          </w:p>
        </w:tc>
        <w:tc>
          <w:tcPr>
            <w:tcW w:w="1410" w:type="dxa"/>
            <w:tcBorders>
              <w:top w:val="nil"/>
              <w:left w:val="outset" w:color="auto" w:sz="6" w:space="0"/>
              <w:bottom w:val="outset" w:color="auto" w:sz="6" w:space="0"/>
              <w:right w:val="outset" w:color="auto" w:sz="6" w:space="0"/>
            </w:tcBorders>
          </w:tcPr>
          <w:p w14:paraId="058E850A">
            <w:pPr>
              <w:pStyle w:val="13"/>
              <w:jc w:val="center"/>
              <w:rPr>
                <w:color w:val="000000"/>
              </w:rPr>
            </w:pPr>
            <w:r>
              <w:rPr>
                <w:color w:val="000000"/>
              </w:rPr>
              <w:t>466</w:t>
            </w:r>
          </w:p>
        </w:tc>
      </w:tr>
      <w:tr w14:paraId="0591206F">
        <w:tblPrEx>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37462FDB">
            <w:pPr>
              <w:pStyle w:val="10"/>
              <w:numPr>
                <w:ilvl w:val="0"/>
                <w:numId w:val="3"/>
              </w:numPr>
              <w:spacing w:before="100" w:beforeAutospacing="1" w:after="100" w:afterAutospacing="1" w:line="256" w:lineRule="auto"/>
              <w:jc w:val="both"/>
              <w:rPr>
                <w:rFonts w:ascii="Times New Roman" w:hAnsi="Times New Roman" w:eastAsia="Calibri" w:cs="Times New Roman"/>
                <w:color w:val="000000"/>
                <w:sz w:val="24"/>
                <w:szCs w:val="24"/>
                <w:lang w:eastAsia="uk-UA"/>
              </w:rPr>
            </w:pPr>
          </w:p>
        </w:tc>
        <w:tc>
          <w:tcPr>
            <w:tcW w:w="6090" w:type="dxa"/>
            <w:tcBorders>
              <w:top w:val="nil"/>
              <w:left w:val="outset" w:color="auto" w:sz="6" w:space="0"/>
              <w:bottom w:val="outset" w:color="auto" w:sz="6" w:space="0"/>
              <w:right w:val="outset" w:color="auto" w:sz="6" w:space="0"/>
            </w:tcBorders>
            <w:shd w:val="clear" w:color="auto" w:fill="FFFFFF"/>
          </w:tcPr>
          <w:p w14:paraId="48E2E79C">
            <w:pPr>
              <w:pStyle w:val="13"/>
              <w:rPr>
                <w:shd w:val="clear" w:color="auto" w:fill="FFFFFF"/>
              </w:rPr>
            </w:pPr>
            <w:r>
              <w:t>Дослідження крові на сифіліс</w:t>
            </w:r>
          </w:p>
        </w:tc>
        <w:tc>
          <w:tcPr>
            <w:tcW w:w="1695" w:type="dxa"/>
            <w:tcBorders>
              <w:top w:val="nil"/>
              <w:left w:val="outset" w:color="auto" w:sz="6" w:space="0"/>
              <w:bottom w:val="outset" w:color="auto" w:sz="6" w:space="0"/>
              <w:right w:val="outset" w:color="auto" w:sz="6" w:space="0"/>
            </w:tcBorders>
          </w:tcPr>
          <w:p w14:paraId="0D4E0BE4">
            <w:pPr>
              <w:pStyle w:val="13"/>
              <w:jc w:val="center"/>
            </w:pPr>
            <w:r>
              <w:t>послуга</w:t>
            </w:r>
          </w:p>
        </w:tc>
        <w:tc>
          <w:tcPr>
            <w:tcW w:w="1410" w:type="dxa"/>
            <w:tcBorders>
              <w:top w:val="nil"/>
              <w:left w:val="outset" w:color="auto" w:sz="6" w:space="0"/>
              <w:bottom w:val="outset" w:color="auto" w:sz="6" w:space="0"/>
              <w:right w:val="outset" w:color="auto" w:sz="6" w:space="0"/>
            </w:tcBorders>
          </w:tcPr>
          <w:p w14:paraId="7F1CDAA2">
            <w:pPr>
              <w:pStyle w:val="13"/>
              <w:jc w:val="center"/>
              <w:rPr>
                <w:color w:val="000000"/>
              </w:rPr>
            </w:pPr>
            <w:r>
              <w:rPr>
                <w:color w:val="000000"/>
              </w:rPr>
              <w:t>466</w:t>
            </w:r>
          </w:p>
        </w:tc>
      </w:tr>
      <w:tr w14:paraId="760295B7">
        <w:tblPrEx>
          <w:tblCellMar>
            <w:top w:w="15" w:type="dxa"/>
            <w:left w:w="15" w:type="dxa"/>
            <w:bottom w:w="15" w:type="dxa"/>
            <w:right w:w="15" w:type="dxa"/>
          </w:tblCellMar>
        </w:tblPrEx>
        <w:tc>
          <w:tcPr>
            <w:tcW w:w="810" w:type="dxa"/>
            <w:tcBorders>
              <w:top w:val="nil"/>
              <w:left w:val="outset" w:color="auto" w:sz="6" w:space="0"/>
              <w:bottom w:val="outset" w:color="auto" w:sz="6" w:space="0"/>
              <w:right w:val="outset" w:color="auto" w:sz="6" w:space="0"/>
            </w:tcBorders>
          </w:tcPr>
          <w:p w14:paraId="23F69DE9">
            <w:pPr>
              <w:pStyle w:val="10"/>
              <w:numPr>
                <w:ilvl w:val="0"/>
                <w:numId w:val="3"/>
              </w:numPr>
              <w:spacing w:before="100" w:beforeAutospacing="1" w:after="100" w:afterAutospacing="1" w:line="256" w:lineRule="auto"/>
              <w:jc w:val="both"/>
              <w:rPr>
                <w:rFonts w:ascii="Times New Roman" w:hAnsi="Times New Roman" w:eastAsia="Calibri" w:cs="Times New Roman"/>
                <w:color w:val="000000"/>
                <w:sz w:val="24"/>
                <w:szCs w:val="24"/>
                <w:lang w:eastAsia="uk-UA"/>
              </w:rPr>
            </w:pPr>
          </w:p>
        </w:tc>
        <w:tc>
          <w:tcPr>
            <w:tcW w:w="6090" w:type="dxa"/>
            <w:tcBorders>
              <w:top w:val="nil"/>
              <w:left w:val="outset" w:color="auto" w:sz="6" w:space="0"/>
              <w:bottom w:val="outset" w:color="auto" w:sz="6" w:space="0"/>
              <w:right w:val="outset" w:color="auto" w:sz="6" w:space="0"/>
            </w:tcBorders>
            <w:shd w:val="clear" w:color="auto" w:fill="FFFFFF"/>
          </w:tcPr>
          <w:p w14:paraId="36928CF5">
            <w:pPr>
              <w:pStyle w:val="13"/>
              <w:rPr>
                <w:color w:val="000000"/>
              </w:rPr>
            </w:pPr>
            <w:r>
              <w:rPr>
                <w:color w:val="000000"/>
              </w:rPr>
              <w:t>Визначення збудника  інфекційних захворювань в біологічному матеріалі людини (Мазки на гонорею)</w:t>
            </w:r>
          </w:p>
        </w:tc>
        <w:tc>
          <w:tcPr>
            <w:tcW w:w="1695" w:type="dxa"/>
            <w:tcBorders>
              <w:top w:val="nil"/>
              <w:left w:val="outset" w:color="auto" w:sz="6" w:space="0"/>
              <w:bottom w:val="outset" w:color="auto" w:sz="6" w:space="0"/>
              <w:right w:val="outset" w:color="auto" w:sz="6" w:space="0"/>
            </w:tcBorders>
          </w:tcPr>
          <w:p w14:paraId="0C9B0C90">
            <w:pPr>
              <w:pStyle w:val="13"/>
              <w:jc w:val="center"/>
              <w:rPr>
                <w:color w:val="000000"/>
              </w:rPr>
            </w:pPr>
            <w:r>
              <w:rPr>
                <w:color w:val="000000"/>
              </w:rPr>
              <w:t>послуга</w:t>
            </w:r>
          </w:p>
        </w:tc>
        <w:tc>
          <w:tcPr>
            <w:tcW w:w="1410" w:type="dxa"/>
            <w:tcBorders>
              <w:top w:val="nil"/>
              <w:left w:val="outset" w:color="auto" w:sz="6" w:space="0"/>
              <w:bottom w:val="outset" w:color="auto" w:sz="6" w:space="0"/>
              <w:right w:val="outset" w:color="auto" w:sz="6" w:space="0"/>
            </w:tcBorders>
          </w:tcPr>
          <w:p w14:paraId="4350D238">
            <w:pPr>
              <w:pStyle w:val="13"/>
              <w:jc w:val="center"/>
              <w:rPr>
                <w:color w:val="000000"/>
              </w:rPr>
            </w:pPr>
            <w:r>
              <w:rPr>
                <w:color w:val="000000"/>
              </w:rPr>
              <w:t>466</w:t>
            </w:r>
          </w:p>
        </w:tc>
      </w:tr>
    </w:tbl>
    <w:p w14:paraId="53DC11CD">
      <w:pPr>
        <w:pStyle w:val="14"/>
        <w:jc w:val="center"/>
        <w:rPr>
          <w:b/>
        </w:rPr>
      </w:pPr>
      <w:r>
        <w:rPr>
          <w:b/>
        </w:rPr>
        <w:t>Загальні вимоги:</w:t>
      </w:r>
    </w:p>
    <w:p w14:paraId="39935DDE">
      <w:pPr>
        <w:pStyle w:val="14"/>
        <w:numPr>
          <w:ilvl w:val="0"/>
          <w:numId w:val="4"/>
        </w:numPr>
      </w:pPr>
      <w:r>
        <w:t xml:space="preserve">Учасник (виконавець) надає послуги з проведення щорічного періодичного медичного огляду працівників закладів дошкільної освіти та закладів загальної середньої освіти з дотриманням норм законодавства які регламентують діяльність в даній сфері. </w:t>
      </w:r>
    </w:p>
    <w:p w14:paraId="66078CBC">
      <w:pPr>
        <w:pStyle w:val="14"/>
        <w:numPr>
          <w:ilvl w:val="0"/>
          <w:numId w:val="4"/>
        </w:numPr>
        <w:rPr>
          <w:b/>
        </w:rPr>
      </w:pPr>
      <w:r>
        <w:t xml:space="preserve">Трудові відносини з лікарями (спеціалістами), мають бути оформлені згідно чинного законодавства. Лікарі (спеціалісти) мають мати відповідні сертифікати/підтверджуючі документи. </w:t>
      </w:r>
      <w:r>
        <w:rPr>
          <w:b/>
        </w:rPr>
        <w:t>Учасник надає документ з підтвердження наявності в закладі охорони здоров'я медичної комісії, яка здійснює медичний огляд працівників для визначення спроможності осіб займатися відповідним видом діяльності.</w:t>
      </w:r>
    </w:p>
    <w:p w14:paraId="10AF01F5">
      <w:pPr>
        <w:pStyle w:val="14"/>
        <w:numPr>
          <w:ilvl w:val="0"/>
          <w:numId w:val="4"/>
        </w:numPr>
      </w:pPr>
      <w:r>
        <w:t>Щорічний періодичний медичний огляд працівників певних категорій включає в себе огляд спеціалістами, лабораторні та функціональні дослідження з оформленням відповідних документів:</w:t>
      </w:r>
    </w:p>
    <w:p w14:paraId="6D55656D">
      <w:pPr>
        <w:pStyle w:val="15"/>
        <w:shd w:val="clear" w:color="auto" w:fill="FFFFFF"/>
        <w:jc w:val="both"/>
      </w:pPr>
      <w:r>
        <w:rPr>
          <w:color w:val="000000"/>
        </w:rPr>
        <w:t xml:space="preserve">Учасник надає </w:t>
      </w:r>
      <w:r>
        <w:rPr>
          <w:b/>
          <w:color w:val="000000"/>
        </w:rPr>
        <w:t xml:space="preserve">гарантійний лист на підтвердження здійснення послуг згідно вимог Замовника. (впродовж 2024 року) </w:t>
      </w:r>
      <w:r>
        <w:rPr>
          <w:color w:val="000000"/>
        </w:rPr>
        <w:t>та  погоджених Замовником заявками за  списками працівників  щодо   проведення оглядів на території Замовника м. Коломия та/або довідку в довільній формі із зазначенням місцезнаходження приміщення медичного закладу для проходження періодичного медичного огляду працівниками Замовника  у місті Коломия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B2EF4"/>
    <w:multiLevelType w:val="multilevel"/>
    <w:tmpl w:val="22FB2EF4"/>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1">
    <w:nsid w:val="3DDA0EB2"/>
    <w:multiLevelType w:val="multilevel"/>
    <w:tmpl w:val="3DDA0EB2"/>
    <w:lvl w:ilvl="0" w:tentative="0">
      <w:start w:val="2"/>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0B31CF"/>
    <w:multiLevelType w:val="multilevel"/>
    <w:tmpl w:val="520B31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7FC055C"/>
    <w:multiLevelType w:val="multilevel"/>
    <w:tmpl w:val="67FC055C"/>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09A"/>
    <w:rsid w:val="000C541A"/>
    <w:rsid w:val="00254203"/>
    <w:rsid w:val="0027553A"/>
    <w:rsid w:val="003B109A"/>
    <w:rsid w:val="004E72BF"/>
    <w:rsid w:val="00663FCE"/>
    <w:rsid w:val="00730458"/>
    <w:rsid w:val="00733141"/>
    <w:rsid w:val="00795E0B"/>
    <w:rsid w:val="00955CD9"/>
    <w:rsid w:val="00B35793"/>
    <w:rsid w:val="00E83E99"/>
    <w:rsid w:val="00ED1EBF"/>
    <w:rsid w:val="00F139E7"/>
    <w:rsid w:val="00FF7AED"/>
    <w:rsid w:val="66DA1B6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uk-UA" w:eastAsia="uk-U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table" w:styleId="7">
    <w:name w:val="Table Grid"/>
    <w:basedOn w:val="4"/>
    <w:qFormat/>
    <w:uiPriority w:val="39"/>
    <w:pPr>
      <w:spacing w:after="0" w:line="240" w:lineRule="auto"/>
    </w:pPr>
    <w:rPr>
      <w:rFonts w:ascii="Calibri" w:hAnsi="Calibri" w:eastAsia="Calibri" w:cs="Times New Roman"/>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rvts7"/>
    <w:basedOn w:val="3"/>
    <w:uiPriority w:val="0"/>
  </w:style>
  <w:style w:type="character" w:customStyle="1" w:styleId="9">
    <w:name w:val="rvts8"/>
    <w:basedOn w:val="3"/>
    <w:uiPriority w:val="0"/>
  </w:style>
  <w:style w:type="paragraph" w:styleId="10">
    <w:name w:val="List Paragraph"/>
    <w:basedOn w:val="1"/>
    <w:qFormat/>
    <w:uiPriority w:val="99"/>
    <w:pPr>
      <w:ind w:left="720"/>
      <w:contextualSpacing/>
    </w:pPr>
  </w:style>
  <w:style w:type="character" w:customStyle="1" w:styleId="11">
    <w:name w:val="Заголовок 1 Знак"/>
    <w:basedOn w:val="3"/>
    <w:link w:val="2"/>
    <w:uiPriority w:val="9"/>
    <w:rPr>
      <w:rFonts w:ascii="Times New Roman" w:hAnsi="Times New Roman" w:eastAsia="Times New Roman" w:cs="Times New Roman"/>
      <w:b/>
      <w:bCs/>
      <w:kern w:val="36"/>
      <w:sz w:val="48"/>
      <w:szCs w:val="48"/>
      <w:lang w:eastAsia="uk-UA"/>
    </w:rPr>
  </w:style>
  <w:style w:type="character" w:customStyle="1" w:styleId="12">
    <w:name w:val="h-vertical-middle"/>
    <w:basedOn w:val="3"/>
    <w:qFormat/>
    <w:uiPriority w:val="0"/>
  </w:style>
  <w:style w:type="paragraph" w:customStyle="1" w:styleId="13">
    <w:name w:val="Звичайний1"/>
    <w:uiPriority w:val="0"/>
    <w:pPr>
      <w:spacing w:after="0" w:line="240" w:lineRule="auto"/>
    </w:pPr>
    <w:rPr>
      <w:rFonts w:ascii="Times New Roman" w:hAnsi="Times New Roman" w:eastAsia="Times New Roman" w:cs="Times New Roman"/>
      <w:sz w:val="24"/>
      <w:szCs w:val="24"/>
      <w:lang w:val="uk-UA" w:eastAsia="uk-UA" w:bidi="ar-SA"/>
    </w:rPr>
  </w:style>
  <w:style w:type="paragraph" w:customStyle="1" w:styleId="14">
    <w:name w:val="Основной текст (2)"/>
    <w:basedOn w:val="1"/>
    <w:uiPriority w:val="0"/>
    <w:pPr>
      <w:widowControl w:val="0"/>
      <w:shd w:val="clear" w:color="auto" w:fill="FFFFFF"/>
      <w:spacing w:before="100" w:beforeAutospacing="1" w:after="100" w:afterAutospacing="1" w:line="240" w:lineRule="auto"/>
      <w:jc w:val="both"/>
    </w:pPr>
    <w:rPr>
      <w:rFonts w:ascii="Times New Roman" w:hAnsi="Times New Roman" w:eastAsia="Times New Roman" w:cs="Times New Roman"/>
      <w:sz w:val="24"/>
      <w:szCs w:val="24"/>
      <w:lang w:val="uk-UA" w:eastAsia="uk-UA"/>
    </w:rPr>
  </w:style>
  <w:style w:type="paragraph" w:customStyle="1" w:styleId="15">
    <w:name w:val="Звичайний (веб)1"/>
    <w:basedOn w:val="1"/>
    <w:semiHidden/>
    <w:qFormat/>
    <w:uiPriority w:val="0"/>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table" w:customStyle="1" w:styleId="16">
    <w:name w:val="Table Normal1"/>
    <w:semiHidden/>
    <w:qFormat/>
    <w:uiPriority w:val="0"/>
    <w:pPr>
      <w:spacing w:after="0" w:line="240" w:lineRule="auto"/>
    </w:pPr>
    <w:rPr>
      <w:rFonts w:ascii="Times New Roman" w:hAnsi="Times New Roman" w:eastAsia="Times New Roman" w:cs="Times New Roman"/>
      <w:sz w:val="20"/>
      <w:szCs w:val="20"/>
      <w:lang w:eastAsia="uk-U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4</Pages>
  <Words>7147</Words>
  <Characters>4074</Characters>
  <Lines>33</Lines>
  <Paragraphs>22</Paragraphs>
  <TotalTime>82</TotalTime>
  <ScaleCrop>false</ScaleCrop>
  <LinksUpToDate>false</LinksUpToDate>
  <CharactersWithSpaces>11199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2024-02-03T19:56:00Z</dcterms:created>
  <dc:creator>Lenovo</dc:creator>
  <cp:lastModifiedBy>Osvita</cp:lastModifiedBy>
  <dcterms:modified xsi:type="dcterms:W3CDTF">2024-09-11T08:35:47Z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b713d4b5-9337-4e0d-acf8-fb2d82709b92</vt:lpwstr>
  </property>
  <property fmtid="{D5CDD505-2E9C-101B-9397-08002B2CF9AE}" pid="3" name="KSOProductBuildVer">
    <vt:lpwstr>1033-12.2.0.17562</vt:lpwstr>
  </property>
  <property fmtid="{D5CDD505-2E9C-101B-9397-08002B2CF9AE}" pid="4" name="ICV">
    <vt:lpwstr>5419A3CBCC354EF3B43B55A82E118C16_12</vt:lpwstr>
  </property>
</Properties>
</file>